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DBF" w:rsidRPr="00AE575F" w:rsidRDefault="00B71DBF">
      <w:pPr>
        <w:ind w:left="720" w:hanging="360"/>
        <w:rPr>
          <w:u w:val="single"/>
        </w:rPr>
      </w:pPr>
    </w:p>
    <w:p w:rsidR="00B71DBF" w:rsidRPr="00AE575F" w:rsidRDefault="00B71DBF" w:rsidP="00AE575F">
      <w:pPr>
        <w:pStyle w:val="Prrafodelista"/>
        <w:numPr>
          <w:ilvl w:val="0"/>
          <w:numId w:val="4"/>
        </w:numPr>
        <w:rPr>
          <w:b/>
          <w:bCs/>
          <w:u w:val="single"/>
        </w:rPr>
      </w:pPr>
      <w:r w:rsidRPr="00AE575F">
        <w:rPr>
          <w:b/>
          <w:bCs/>
          <w:u w:val="single"/>
        </w:rPr>
        <w:t>Introducción</w:t>
      </w:r>
    </w:p>
    <w:p w:rsidR="00B71DBF" w:rsidRDefault="00B71DBF" w:rsidP="00127AF1">
      <w:pPr>
        <w:pStyle w:val="Prrafodelista"/>
        <w:numPr>
          <w:ilvl w:val="0"/>
          <w:numId w:val="3"/>
        </w:numPr>
      </w:pPr>
      <w:r>
        <w:t xml:space="preserve">El 23 de Marzo el P.E. en Consejo de Ministros adoptó nuevas medidas para salvaguardar la salud de sus ciudadanos: </w:t>
      </w:r>
    </w:p>
    <w:p w:rsidR="00B71DBF" w:rsidRPr="00127AF1" w:rsidRDefault="00B71DBF" w:rsidP="00B71DBF">
      <w:pPr>
        <w:pStyle w:val="Prrafodelista"/>
        <w:numPr>
          <w:ilvl w:val="0"/>
          <w:numId w:val="2"/>
        </w:numPr>
        <w:rPr>
          <w:b/>
          <w:bCs/>
        </w:rPr>
      </w:pPr>
      <w:r>
        <w:t xml:space="preserve">Suspensión de </w:t>
      </w:r>
      <w:r w:rsidRPr="00127AF1">
        <w:rPr>
          <w:b/>
          <w:bCs/>
        </w:rPr>
        <w:t>espectáculos públicos</w:t>
      </w:r>
    </w:p>
    <w:p w:rsidR="00B71DBF" w:rsidRDefault="00B71DBF" w:rsidP="00B71DBF">
      <w:pPr>
        <w:pStyle w:val="Prrafodelista"/>
        <w:numPr>
          <w:ilvl w:val="0"/>
          <w:numId w:val="2"/>
        </w:numPr>
      </w:pPr>
      <w:r>
        <w:t xml:space="preserve">Suspensión de </w:t>
      </w:r>
      <w:r w:rsidRPr="00127AF1">
        <w:rPr>
          <w:b/>
          <w:bCs/>
        </w:rPr>
        <w:t>fiestas y eventos sociales</w:t>
      </w:r>
    </w:p>
    <w:p w:rsidR="00B71DBF" w:rsidRDefault="00B71DBF" w:rsidP="00B71DBF">
      <w:pPr>
        <w:pStyle w:val="Prrafodelista"/>
        <w:numPr>
          <w:ilvl w:val="0"/>
          <w:numId w:val="2"/>
        </w:numPr>
      </w:pPr>
      <w:r>
        <w:t xml:space="preserve">Se Exhortó a suspender las </w:t>
      </w:r>
      <w:r w:rsidRPr="00127AF1">
        <w:rPr>
          <w:b/>
          <w:bCs/>
        </w:rPr>
        <w:t>clases presenciales</w:t>
      </w:r>
      <w:r>
        <w:t xml:space="preserve"> en todos los centros educativos </w:t>
      </w:r>
    </w:p>
    <w:p w:rsidR="00B71DBF" w:rsidRDefault="00B71DBF" w:rsidP="00B71DBF">
      <w:pPr>
        <w:pStyle w:val="Prrafodelista"/>
        <w:numPr>
          <w:ilvl w:val="0"/>
          <w:numId w:val="2"/>
        </w:numPr>
      </w:pPr>
      <w:r>
        <w:t>Se exhortó a las intendencias a cerrar centros termales, centros de vacaciones, campings</w:t>
      </w:r>
    </w:p>
    <w:p w:rsidR="00B71DBF" w:rsidRDefault="00B71DBF" w:rsidP="00B71DBF">
      <w:pPr>
        <w:pStyle w:val="Prrafodelista"/>
        <w:numPr>
          <w:ilvl w:val="0"/>
          <w:numId w:val="2"/>
        </w:numPr>
      </w:pPr>
      <w:r>
        <w:t>Se exhortó cierre plazas de comidas</w:t>
      </w:r>
    </w:p>
    <w:p w:rsidR="00B71DBF" w:rsidRDefault="00B71DBF" w:rsidP="00B71DBF">
      <w:pPr>
        <w:pStyle w:val="Prrafodelista"/>
        <w:numPr>
          <w:ilvl w:val="0"/>
          <w:numId w:val="2"/>
        </w:numPr>
      </w:pPr>
      <w:r>
        <w:t xml:space="preserve">Se decretó cierre de </w:t>
      </w:r>
      <w:r w:rsidRPr="00127AF1">
        <w:rPr>
          <w:b/>
          <w:bCs/>
        </w:rPr>
        <w:t>restoranes, bares y pubs</w:t>
      </w:r>
      <w:r>
        <w:t xml:space="preserve"> a las 00</w:t>
      </w:r>
    </w:p>
    <w:p w:rsidR="00B71DBF" w:rsidRDefault="00127AF1" w:rsidP="00B71DBF">
      <w:pPr>
        <w:pStyle w:val="Prrafodelista"/>
        <w:numPr>
          <w:ilvl w:val="0"/>
          <w:numId w:val="2"/>
        </w:numPr>
      </w:pPr>
      <w:r>
        <w:t xml:space="preserve">Se restringió la </w:t>
      </w:r>
      <w:r w:rsidRPr="00127AF1">
        <w:rPr>
          <w:b/>
          <w:bCs/>
        </w:rPr>
        <w:t>actividad deportiva</w:t>
      </w:r>
      <w:r>
        <w:t xml:space="preserve"> en gimnasios, clubes deportivos</w:t>
      </w:r>
    </w:p>
    <w:p w:rsidR="00127AF1" w:rsidRDefault="00127AF1" w:rsidP="00B71DBF">
      <w:pPr>
        <w:pStyle w:val="Prrafodelista"/>
        <w:numPr>
          <w:ilvl w:val="0"/>
          <w:numId w:val="2"/>
        </w:numPr>
      </w:pPr>
      <w:r>
        <w:t>Se cerraron las tiendas libres de impuestos de la frontera (</w:t>
      </w:r>
      <w:r w:rsidRPr="00127AF1">
        <w:rPr>
          <w:b/>
          <w:bCs/>
        </w:rPr>
        <w:t>free shops</w:t>
      </w:r>
      <w:r>
        <w:t>)</w:t>
      </w:r>
    </w:p>
    <w:p w:rsidR="00127AF1" w:rsidRDefault="00127AF1" w:rsidP="00127AF1">
      <w:pPr>
        <w:pStyle w:val="Prrafodelista"/>
        <w:numPr>
          <w:ilvl w:val="0"/>
          <w:numId w:val="3"/>
        </w:numPr>
      </w:pPr>
      <w:r>
        <w:t>A estos sectores se suman otros del sector turismo (hoteles, agencias de viajes, etc) que continúan siendo castigados fuertemente durante la pandemia.</w:t>
      </w:r>
    </w:p>
    <w:p w:rsidR="00AE575F" w:rsidRDefault="00127AF1" w:rsidP="00AE575F">
      <w:pPr>
        <w:pStyle w:val="Prrafodelista"/>
        <w:numPr>
          <w:ilvl w:val="0"/>
          <w:numId w:val="3"/>
        </w:numPr>
      </w:pPr>
      <w:r>
        <w:t xml:space="preserve">Este cierre parcial de actividades tiene su impacto en </w:t>
      </w:r>
    </w:p>
    <w:p w:rsidR="00AE575F" w:rsidRDefault="00127AF1" w:rsidP="00AE575F">
      <w:pPr>
        <w:pStyle w:val="Prrafodelista"/>
        <w:numPr>
          <w:ilvl w:val="1"/>
          <w:numId w:val="3"/>
        </w:numPr>
      </w:pPr>
      <w:r w:rsidRPr="00127AF1">
        <w:rPr>
          <w:b/>
          <w:bCs/>
        </w:rPr>
        <w:t>empresas y emprendimientos</w:t>
      </w:r>
      <w:r>
        <w:t xml:space="preserve"> de los sectores afectados,</w:t>
      </w:r>
    </w:p>
    <w:p w:rsidR="00AE575F" w:rsidRDefault="00127AF1" w:rsidP="00AE575F">
      <w:pPr>
        <w:pStyle w:val="Prrafodelista"/>
        <w:numPr>
          <w:ilvl w:val="1"/>
          <w:numId w:val="3"/>
        </w:numPr>
      </w:pPr>
      <w:r>
        <w:t xml:space="preserve">las </w:t>
      </w:r>
      <w:r w:rsidRPr="00127AF1">
        <w:rPr>
          <w:b/>
          <w:bCs/>
        </w:rPr>
        <w:t xml:space="preserve">personas </w:t>
      </w:r>
      <w:r>
        <w:t>que trabajan en estas áreas</w:t>
      </w:r>
    </w:p>
    <w:p w:rsidR="00127AF1" w:rsidRDefault="00AE575F" w:rsidP="00AE575F">
      <w:pPr>
        <w:pStyle w:val="Prrafodelista"/>
        <w:numPr>
          <w:ilvl w:val="1"/>
          <w:numId w:val="3"/>
        </w:numPr>
      </w:pPr>
      <w:r>
        <w:t xml:space="preserve">los </w:t>
      </w:r>
      <w:r w:rsidRPr="00AE575F">
        <w:rPr>
          <w:b/>
          <w:bCs/>
        </w:rPr>
        <w:t>sectores más vulnerables</w:t>
      </w:r>
      <w:r>
        <w:t xml:space="preserve"> que son quienes sufren directamente cada disminución de la actividad </w:t>
      </w:r>
    </w:p>
    <w:p w:rsidR="00127AF1" w:rsidRDefault="00127AF1" w:rsidP="00127AF1">
      <w:pPr>
        <w:pStyle w:val="Prrafodelista"/>
        <w:numPr>
          <w:ilvl w:val="0"/>
          <w:numId w:val="3"/>
        </w:numPr>
      </w:pPr>
      <w:r>
        <w:t xml:space="preserve">En el marco de la continuación de la pandemia y de estas medidas de suspensión de ciertas actividades, el PE anuncia hoy nuevos apoyos para </w:t>
      </w:r>
      <w:r w:rsidR="00AE575F">
        <w:t xml:space="preserve">las </w:t>
      </w:r>
      <w:r w:rsidR="00AE575F" w:rsidRPr="00E328E6">
        <w:rPr>
          <w:b/>
          <w:bCs/>
        </w:rPr>
        <w:t>empresas y personas</w:t>
      </w:r>
      <w:r w:rsidR="00AE575F">
        <w:t xml:space="preserve"> que se encuentran en estos </w:t>
      </w:r>
      <w:r w:rsidR="00AE575F" w:rsidRPr="00E328E6">
        <w:rPr>
          <w:b/>
          <w:bCs/>
        </w:rPr>
        <w:t>sectores más afectados por la pandemia</w:t>
      </w:r>
      <w:r w:rsidR="00AE575F">
        <w:t xml:space="preserve">: </w:t>
      </w:r>
    </w:p>
    <w:p w:rsidR="00AE575F" w:rsidRDefault="00AE575F" w:rsidP="00AE575F">
      <w:pPr>
        <w:pStyle w:val="Default"/>
        <w:ind w:left="720"/>
        <w:rPr>
          <w:color w:val="auto"/>
        </w:rPr>
      </w:pPr>
    </w:p>
    <w:p w:rsidR="00AE575F" w:rsidRP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>Turismo: alojamiento, gastronom</w:t>
      </w:r>
      <w:r w:rsidRPr="00AE575F">
        <w:rPr>
          <w:rFonts w:hint="eastAsia"/>
        </w:rPr>
        <w:t>í</w:t>
      </w:r>
      <w:r w:rsidRPr="00AE575F">
        <w:t xml:space="preserve">a, transporte, agencias de viaje, tienda libre de impuestos de frontera. </w:t>
      </w:r>
    </w:p>
    <w:p w:rsidR="00AE575F" w:rsidRP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 xml:space="preserve">Organizadores y proveedores de fiestas y eventos. </w:t>
      </w:r>
    </w:p>
    <w:p w:rsidR="00AE575F" w:rsidRP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>Transporte: taxis, remises, rentadoras, aeropuertos, mar</w:t>
      </w:r>
      <w:r w:rsidRPr="00AE575F">
        <w:rPr>
          <w:rFonts w:hint="eastAsia"/>
        </w:rPr>
        <w:t>í</w:t>
      </w:r>
      <w:r w:rsidRPr="00AE575F">
        <w:t xml:space="preserve">timas. </w:t>
      </w:r>
    </w:p>
    <w:p w:rsidR="00AE575F" w:rsidRP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 xml:space="preserve">Deporte. </w:t>
      </w:r>
    </w:p>
    <w:p w:rsidR="00AE575F" w:rsidRP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>Ense</w:t>
      </w:r>
      <w:r w:rsidRPr="00AE575F">
        <w:rPr>
          <w:rFonts w:hint="eastAsia"/>
        </w:rPr>
        <w:t>ñ</w:t>
      </w:r>
      <w:r w:rsidRPr="00AE575F">
        <w:t xml:space="preserve">anza: transporte escolar, cantinas. </w:t>
      </w:r>
    </w:p>
    <w:p w:rsidR="00AE575F" w:rsidRDefault="00AE575F" w:rsidP="00741533">
      <w:pPr>
        <w:pStyle w:val="Prrafodelista"/>
        <w:numPr>
          <w:ilvl w:val="1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AE575F">
        <w:t xml:space="preserve">Cultura y esparcimiento: cines, artistas. </w:t>
      </w:r>
    </w:p>
    <w:p w:rsidR="00B71DBF" w:rsidRDefault="00E328E6" w:rsidP="00E328E6">
      <w:pPr>
        <w:pStyle w:val="Prrafodelista"/>
        <w:numPr>
          <w:ilvl w:val="0"/>
          <w:numId w:val="3"/>
        </w:numPr>
      </w:pPr>
      <w:r>
        <w:t xml:space="preserve">Adicionalmente, refuerza el apoyo a los </w:t>
      </w:r>
      <w:r w:rsidRPr="00E328E6">
        <w:rPr>
          <w:b/>
          <w:bCs/>
        </w:rPr>
        <w:t>hogares más vulnerables</w:t>
      </w:r>
      <w:r>
        <w:t xml:space="preserve">. </w:t>
      </w:r>
    </w:p>
    <w:p w:rsidR="00B71DBF" w:rsidRDefault="00B71DBF" w:rsidP="00B71DBF">
      <w:pPr>
        <w:pStyle w:val="Prrafodelista"/>
      </w:pPr>
    </w:p>
    <w:p w:rsidR="00B71DBF" w:rsidRPr="005546FE" w:rsidRDefault="00AE575F" w:rsidP="00AE575F">
      <w:pPr>
        <w:pStyle w:val="Prrafodelista"/>
        <w:numPr>
          <w:ilvl w:val="0"/>
          <w:numId w:val="4"/>
        </w:numPr>
        <w:rPr>
          <w:b/>
          <w:bCs/>
        </w:rPr>
      </w:pPr>
      <w:r w:rsidRPr="005546FE">
        <w:rPr>
          <w:b/>
          <w:bCs/>
        </w:rPr>
        <w:lastRenderedPageBreak/>
        <w:t>Medidas Económicas</w:t>
      </w:r>
    </w:p>
    <w:p w:rsidR="005546FE" w:rsidRPr="005546FE" w:rsidRDefault="005546FE" w:rsidP="005546FE">
      <w:pPr>
        <w:pStyle w:val="Prrafodelista"/>
        <w:rPr>
          <w:b/>
          <w:bCs/>
        </w:rPr>
      </w:pPr>
      <w:r w:rsidRPr="005546FE">
        <w:rPr>
          <w:b/>
          <w:bCs/>
        </w:rPr>
        <w:t xml:space="preserve">Aportes BPSpara las Empresas Fuertemente Afectadas por la Pandemia: </w:t>
      </w:r>
    </w:p>
    <w:p w:rsidR="00AE575F" w:rsidRDefault="00AE575F">
      <w:pPr>
        <w:pStyle w:val="Prrafodelista"/>
        <w:numPr>
          <w:ilvl w:val="0"/>
          <w:numId w:val="1"/>
        </w:numPr>
      </w:pPr>
      <w:r>
        <w:t>Exoneración del 100% de los aportes jubilatorios patronales para las empresas fuertemente afectadas por la pandemia. Del 1 de enero al 30 de junio</w:t>
      </w:r>
      <w:r w:rsidR="00C200CD">
        <w:t xml:space="preserve"> 2021</w:t>
      </w:r>
      <w:r>
        <w:t>. (Algunos sectores ya tenían esta exoneración hasta el 31 de Marzo, en cuyo caso se extendió hasta el 30 de junio y otros sectores se agregaron para tener la exoneración total en todo el primer semestre del año)</w:t>
      </w:r>
    </w:p>
    <w:p w:rsidR="005546FE" w:rsidRPr="005546FE" w:rsidRDefault="005546FE" w:rsidP="005546FE">
      <w:pPr>
        <w:pStyle w:val="Prrafodelista"/>
        <w:rPr>
          <w:b/>
          <w:bCs/>
        </w:rPr>
      </w:pPr>
      <w:r w:rsidRPr="005546FE">
        <w:rPr>
          <w:b/>
          <w:bCs/>
        </w:rPr>
        <w:t>Exoneraciones Tributariaspara las Empresas Fuertemente Afectadas por la Pandemia</w:t>
      </w:r>
      <w:r>
        <w:rPr>
          <w:b/>
          <w:bCs/>
        </w:rPr>
        <w:t xml:space="preserve"> contribuyentes de IRAE</w:t>
      </w:r>
      <w:r w:rsidRPr="005546FE">
        <w:rPr>
          <w:b/>
          <w:bCs/>
        </w:rPr>
        <w:t xml:space="preserve">: </w:t>
      </w:r>
    </w:p>
    <w:p w:rsidR="005546FE" w:rsidRPr="00C14919" w:rsidRDefault="005546FE">
      <w:pPr>
        <w:pStyle w:val="Prrafodelista"/>
        <w:numPr>
          <w:ilvl w:val="0"/>
          <w:numId w:val="1"/>
        </w:numPr>
      </w:pPr>
      <w:r>
        <w:t>Exoneración del IRAE mínimo mensual para el período enero a junio 202</w:t>
      </w:r>
      <w:r w:rsidR="00C200CD">
        <w:t>1</w:t>
      </w:r>
      <w:r>
        <w:t>. Al liquidar el IRAE, si corresponde</w:t>
      </w:r>
      <w:r w:rsidR="00C200CD">
        <w:t>,</w:t>
      </w:r>
      <w:r>
        <w:t xml:space="preserve"> se pagarán estos montos, pero si no hubo suficientes ingresos </w:t>
      </w:r>
      <w:r w:rsidRPr="00C14919">
        <w:t>en el 2021 no se tienen que pagar.</w:t>
      </w:r>
    </w:p>
    <w:p w:rsidR="006E7D92" w:rsidRPr="00C14919" w:rsidRDefault="00C14919" w:rsidP="00FD073E">
      <w:pPr>
        <w:pStyle w:val="Prrafodelista"/>
        <w:numPr>
          <w:ilvl w:val="0"/>
          <w:numId w:val="1"/>
        </w:numPr>
      </w:pPr>
      <w:r w:rsidRPr="00C14919">
        <w:t>Exoneración</w:t>
      </w:r>
      <w:r w:rsidR="005546FE" w:rsidRPr="00C14919">
        <w:t xml:space="preserve"> del </w:t>
      </w:r>
      <w:r w:rsidRPr="00C14919">
        <w:t xml:space="preserve">Anticipo de </w:t>
      </w:r>
      <w:r w:rsidR="005546FE" w:rsidRPr="00C14919">
        <w:t xml:space="preserve">Impuesto al Patrimonio </w:t>
      </w:r>
      <w:r w:rsidRPr="00C14919">
        <w:t>de l</w:t>
      </w:r>
      <w:r w:rsidR="005546FE" w:rsidRPr="00C14919">
        <w:t xml:space="preserve">as empresas afectadas por la pandemia (según la definición dada) </w:t>
      </w:r>
      <w:r w:rsidR="006E7D92" w:rsidRPr="00C14919">
        <w:t xml:space="preserve">durante el </w:t>
      </w:r>
      <w:r w:rsidRPr="00C14919">
        <w:t xml:space="preserve">primer </w:t>
      </w:r>
      <w:r w:rsidR="006E7D92" w:rsidRPr="00C14919">
        <w:t>semestre 2021</w:t>
      </w:r>
      <w:r w:rsidRPr="00C14919">
        <w:t>. E</w:t>
      </w:r>
      <w:r w:rsidR="006E7D92" w:rsidRPr="00C14919">
        <w:t>se monto exonerado se desc</w:t>
      </w:r>
      <w:r w:rsidRPr="00C14919">
        <w:t>ontará</w:t>
      </w:r>
      <w:r w:rsidR="006E7D92" w:rsidRPr="00C14919">
        <w:t xml:space="preserve"> efectivamente </w:t>
      </w:r>
      <w:r w:rsidRPr="00C14919">
        <w:t>en</w:t>
      </w:r>
      <w:r w:rsidR="006E7D92" w:rsidRPr="00C14919">
        <w:t xml:space="preserve"> la liquidación de dicho impuesto para que tenga un efecto económico real y no un efecto financiero.</w:t>
      </w:r>
      <w:r w:rsidRPr="00C14919">
        <w:t xml:space="preserve"> Es decir, los anticipos exonerados se tomarán como pagados al momento de liquidar el IP.</w:t>
      </w:r>
    </w:p>
    <w:p w:rsidR="005546FE" w:rsidRPr="006746D4" w:rsidRDefault="005546FE" w:rsidP="005546FE">
      <w:pPr>
        <w:pStyle w:val="Prrafodelista"/>
        <w:rPr>
          <w:b/>
          <w:bCs/>
        </w:rPr>
      </w:pPr>
      <w:r w:rsidRPr="006746D4">
        <w:rPr>
          <w:b/>
          <w:bCs/>
        </w:rPr>
        <w:t>Subsidios Monetarios</w:t>
      </w:r>
    </w:p>
    <w:p w:rsidR="001D4934" w:rsidRDefault="005546FE" w:rsidP="001D4934">
      <w:pPr>
        <w:pStyle w:val="Prrafodelista"/>
        <w:numPr>
          <w:ilvl w:val="0"/>
          <w:numId w:val="1"/>
        </w:numPr>
      </w:pPr>
      <w:r>
        <w:t xml:space="preserve">Los trabajadores </w:t>
      </w:r>
      <w:r w:rsidR="006746D4">
        <w:t xml:space="preserve">cuentapropistas de los sectores </w:t>
      </w:r>
      <w:r w:rsidR="006746D4" w:rsidRPr="001D4934">
        <w:rPr>
          <w:b/>
          <w:bCs/>
        </w:rPr>
        <w:t>espectáculos, eventos, cultura y deporte</w:t>
      </w:r>
      <w:r w:rsidR="006746D4">
        <w:t>, recibirán un subsidio monetario de $7.305 (1,5 BPC) por</w:t>
      </w:r>
      <w:r w:rsidR="008E416C">
        <w:t xml:space="preserve"> 3 meses.</w:t>
      </w:r>
      <w:r w:rsidR="006746D4">
        <w:t xml:space="preserve"> Se trata de: </w:t>
      </w:r>
      <w:r w:rsidR="006746D4" w:rsidRPr="006746D4">
        <w:t>artistas</w:t>
      </w:r>
      <w:r w:rsidR="006746D4">
        <w:t xml:space="preserve">, </w:t>
      </w:r>
      <w:r w:rsidR="006746D4" w:rsidRPr="006746D4">
        <w:t>autores</w:t>
      </w:r>
      <w:r w:rsidR="006746D4">
        <w:t xml:space="preserve">, </w:t>
      </w:r>
      <w:r w:rsidR="006746D4" w:rsidRPr="006746D4">
        <w:t>gu</w:t>
      </w:r>
      <w:r w:rsidR="006746D4" w:rsidRPr="006746D4">
        <w:rPr>
          <w:rFonts w:hint="eastAsia"/>
        </w:rPr>
        <w:t>í</w:t>
      </w:r>
      <w:r w:rsidR="006746D4" w:rsidRPr="006746D4">
        <w:t>as tur</w:t>
      </w:r>
      <w:r w:rsidR="006746D4" w:rsidRPr="006746D4">
        <w:rPr>
          <w:rFonts w:hint="eastAsia"/>
        </w:rPr>
        <w:t>í</w:t>
      </w:r>
      <w:r w:rsidR="006746D4" w:rsidRPr="006746D4">
        <w:t>sticos</w:t>
      </w:r>
      <w:r w:rsidR="006746D4">
        <w:t xml:space="preserve">, </w:t>
      </w:r>
      <w:r w:rsidR="006746D4" w:rsidRPr="006746D4">
        <w:t>djs</w:t>
      </w:r>
      <w:r w:rsidR="006746D4">
        <w:t xml:space="preserve">, </w:t>
      </w:r>
      <w:r w:rsidR="006746D4" w:rsidRPr="006746D4">
        <w:t>fot</w:t>
      </w:r>
      <w:r w:rsidR="006746D4" w:rsidRPr="006746D4">
        <w:rPr>
          <w:rFonts w:hint="eastAsia"/>
        </w:rPr>
        <w:t>ó</w:t>
      </w:r>
      <w:r w:rsidR="006746D4" w:rsidRPr="006746D4">
        <w:t>grafos</w:t>
      </w:r>
      <w:r w:rsidR="006746D4">
        <w:t xml:space="preserve">, </w:t>
      </w:r>
      <w:r w:rsidR="006746D4" w:rsidRPr="006746D4">
        <w:t>sonidistas</w:t>
      </w:r>
      <w:r w:rsidR="006746D4">
        <w:t>, pr</w:t>
      </w:r>
      <w:r w:rsidR="006746D4" w:rsidRPr="006746D4">
        <w:t>ofesores de gimnasia, personal trainer</w:t>
      </w:r>
      <w:r w:rsidR="001D4934">
        <w:t xml:space="preserve">s. Se tomará el registro </w:t>
      </w:r>
      <w:r w:rsidR="00616C7A">
        <w:t xml:space="preserve">ya </w:t>
      </w:r>
      <w:r w:rsidR="001D4934">
        <w:t>presentado por cada una de las organizaciones que nuclean a estos trabajadores (ej Cámara de Eventos del Uruguay, Asociación de Organizadores de Eventos, Cámara de Empresas y Agentes Culturales del Uruguay, etc).</w:t>
      </w:r>
    </w:p>
    <w:p w:rsidR="002144E2" w:rsidRDefault="006746D4" w:rsidP="001D4934">
      <w:pPr>
        <w:pStyle w:val="Prrafodelista"/>
        <w:numPr>
          <w:ilvl w:val="0"/>
          <w:numId w:val="1"/>
        </w:numPr>
      </w:pPr>
      <w:r>
        <w:t xml:space="preserve">Los </w:t>
      </w:r>
      <w:r w:rsidRPr="001D4934">
        <w:rPr>
          <w:b/>
          <w:bCs/>
        </w:rPr>
        <w:t>Monotributistas MIDES</w:t>
      </w:r>
      <w:r>
        <w:t xml:space="preserve"> recibirán un subsidio monetario de $7.305 (1,5 BPC) por 3 meses. </w:t>
      </w:r>
    </w:p>
    <w:p w:rsidR="001D4934" w:rsidRDefault="001D4934" w:rsidP="001D4934">
      <w:pPr>
        <w:pStyle w:val="Prrafodelista"/>
        <w:rPr>
          <w:b/>
          <w:bCs/>
        </w:rPr>
      </w:pPr>
    </w:p>
    <w:p w:rsidR="002144E2" w:rsidRDefault="00217CF7" w:rsidP="001D4934">
      <w:pPr>
        <w:pStyle w:val="Prrafodelista"/>
        <w:rPr>
          <w:b/>
          <w:bCs/>
        </w:rPr>
      </w:pPr>
      <w:r>
        <w:rPr>
          <w:b/>
          <w:bCs/>
        </w:rPr>
        <w:t xml:space="preserve">Beneficios especiales en </w:t>
      </w:r>
      <w:r w:rsidR="008E416C">
        <w:rPr>
          <w:b/>
          <w:bCs/>
        </w:rPr>
        <w:t>tarifas públicas</w:t>
      </w:r>
      <w:r w:rsidR="001D4934">
        <w:rPr>
          <w:b/>
          <w:bCs/>
        </w:rPr>
        <w:t>: UTE</w:t>
      </w:r>
    </w:p>
    <w:p w:rsidR="00217CF7" w:rsidRPr="00217CF7" w:rsidRDefault="001D4934" w:rsidP="002D4F66">
      <w:pPr>
        <w:pStyle w:val="Prrafodelista"/>
        <w:numPr>
          <w:ilvl w:val="0"/>
          <w:numId w:val="1"/>
        </w:numPr>
      </w:pPr>
      <w:r w:rsidRPr="001D4934">
        <w:t xml:space="preserve">Para los sectores de </w:t>
      </w:r>
      <w:r w:rsidRPr="001D4934">
        <w:rPr>
          <w:b/>
          <w:bCs/>
          <w:lang w:val="es-UY"/>
        </w:rPr>
        <w:t xml:space="preserve">HOTELERÍA , GASTRONOMIA, INSTITUCIONES CULTURALES,   AGENCIAS DE VIAJE y SALONES DE FIESTA (independiente de su nivel de consumo de energía) </w:t>
      </w:r>
      <w:r w:rsidR="00217CF7">
        <w:rPr>
          <w:b/>
          <w:bCs/>
          <w:lang w:val="es-UY"/>
        </w:rPr>
        <w:t>en general, así como</w:t>
      </w:r>
      <w:r w:rsidRPr="001D4934">
        <w:rPr>
          <w:b/>
          <w:bCs/>
          <w:lang w:val="es-UY"/>
        </w:rPr>
        <w:t xml:space="preserve"> DEPORTE con menos de 40 kW</w:t>
      </w:r>
      <w:r>
        <w:rPr>
          <w:b/>
          <w:bCs/>
          <w:lang w:val="es-UY"/>
        </w:rPr>
        <w:t xml:space="preserve">: </w:t>
      </w:r>
    </w:p>
    <w:p w:rsidR="001D4934" w:rsidRPr="001D4934" w:rsidRDefault="001D4934" w:rsidP="00217CF7">
      <w:pPr>
        <w:pStyle w:val="Prrafodelista"/>
        <w:numPr>
          <w:ilvl w:val="1"/>
          <w:numId w:val="1"/>
        </w:numPr>
      </w:pPr>
      <w:r w:rsidRPr="001D4934">
        <w:rPr>
          <w:lang w:val="es-UY"/>
        </w:rPr>
        <w:t xml:space="preserve">se descontará el 100% del cargo fijo y potencia contratada hasta el mes de Junio 2021. </w:t>
      </w:r>
      <w:r>
        <w:rPr>
          <w:lang w:val="es-UY"/>
        </w:rPr>
        <w:t>(</w:t>
      </w:r>
      <w:r w:rsidRPr="001D4934">
        <w:rPr>
          <w:lang w:val="es-UY"/>
        </w:rPr>
        <w:t>Hasta la fecha la exoneración total era para quienes consumían menos de 40 KW</w:t>
      </w:r>
      <w:r>
        <w:rPr>
          <w:lang w:val="es-UY"/>
        </w:rPr>
        <w:t xml:space="preserve"> de todos estos sectores afectados excepto deporte</w:t>
      </w:r>
      <w:r w:rsidRPr="001D4934">
        <w:rPr>
          <w:lang w:val="es-UY"/>
        </w:rPr>
        <w:t>, ahora es para todo consumo</w:t>
      </w:r>
      <w:r>
        <w:rPr>
          <w:lang w:val="es-UY"/>
        </w:rPr>
        <w:t xml:space="preserve"> de estos sectores y se suma deporte de menos de 40 KW)</w:t>
      </w:r>
    </w:p>
    <w:p w:rsidR="001D4934" w:rsidRPr="001D4934" w:rsidRDefault="001D4934" w:rsidP="001D4934">
      <w:pPr>
        <w:pStyle w:val="Prrafodelista"/>
        <w:numPr>
          <w:ilvl w:val="0"/>
          <w:numId w:val="1"/>
        </w:numPr>
      </w:pPr>
      <w:r w:rsidRPr="001D4934">
        <w:rPr>
          <w:lang w:val="es-UY"/>
        </w:rPr>
        <w:t xml:space="preserve">Extensión de la </w:t>
      </w:r>
      <w:r w:rsidRPr="001D4934">
        <w:rPr>
          <w:b/>
          <w:bCs/>
          <w:lang w:val="es-UY"/>
        </w:rPr>
        <w:t>financiación</w:t>
      </w:r>
      <w:r w:rsidRPr="001D4934">
        <w:rPr>
          <w:lang w:val="es-UY"/>
        </w:rPr>
        <w:t xml:space="preserve"> de los consumos energéticos </w:t>
      </w:r>
      <w:r w:rsidR="001A0844">
        <w:rPr>
          <w:lang w:val="es-UY"/>
        </w:rPr>
        <w:t>adeudados del</w:t>
      </w:r>
      <w:r w:rsidRPr="001D4934">
        <w:rPr>
          <w:b/>
          <w:bCs/>
          <w:lang w:val="es-UY"/>
        </w:rPr>
        <w:t>sector Hotelero, Salones de Fiesta y Gastronomía</w:t>
      </w:r>
      <w:r w:rsidRPr="001D4934">
        <w:rPr>
          <w:lang w:val="es-UY"/>
        </w:rPr>
        <w:t xml:space="preserve"> de 8 a 16 cuotas, comenzando a cobrarlas a partir de setiembre.</w:t>
      </w:r>
    </w:p>
    <w:p w:rsidR="001A0844" w:rsidRPr="001A0844" w:rsidRDefault="001A0844" w:rsidP="001A0844">
      <w:pPr>
        <w:pStyle w:val="Prrafodelista"/>
        <w:numPr>
          <w:ilvl w:val="0"/>
          <w:numId w:val="1"/>
        </w:numPr>
        <w:rPr>
          <w:highlight w:val="yellow"/>
        </w:rPr>
      </w:pPr>
      <w:r w:rsidRPr="001A0844">
        <w:rPr>
          <w:b/>
          <w:bCs/>
          <w:highlight w:val="yellow"/>
          <w:lang w:val="es-UY"/>
        </w:rPr>
        <w:t xml:space="preserve">PYMES – NUEVA BONIFICACIÓN: </w:t>
      </w:r>
      <w:r w:rsidRPr="001A0844">
        <w:rPr>
          <w:highlight w:val="yellow"/>
          <w:lang w:val="es-UY"/>
        </w:rPr>
        <w:t xml:space="preserve">100% de cargo fijo y potencia contratada de abril a junio a PYMES adicionales a las incluidas en los sectores antes mencionados. </w:t>
      </w:r>
      <w:r w:rsidRPr="001A0844">
        <w:rPr>
          <w:highlight w:val="yellow"/>
          <w:lang w:val="es-UY"/>
        </w:rPr>
        <w:lastRenderedPageBreak/>
        <w:t>Condiciones: Las PYMES deben tener contratada Tarifa General Simple y Medianos Consumidores aplicada a comercios y servicios y haber reducido su consumo en 2020 en relación a 2019</w:t>
      </w:r>
    </w:p>
    <w:p w:rsidR="001D4934" w:rsidRPr="00217CF7" w:rsidRDefault="00217CF7" w:rsidP="001A0844">
      <w:pPr>
        <w:pStyle w:val="Prrafodelista"/>
        <w:rPr>
          <w:b/>
          <w:highlight w:val="yellow"/>
        </w:rPr>
      </w:pPr>
      <w:r w:rsidRPr="00217CF7">
        <w:rPr>
          <w:b/>
          <w:highlight w:val="yellow"/>
        </w:rPr>
        <w:t>Beneficios especiales ANTEL.</w:t>
      </w:r>
    </w:p>
    <w:p w:rsidR="00217CF7" w:rsidRPr="00217CF7" w:rsidRDefault="00217CF7" w:rsidP="00217CF7">
      <w:pPr>
        <w:pStyle w:val="Prrafodelista"/>
        <w:numPr>
          <w:ilvl w:val="0"/>
          <w:numId w:val="6"/>
        </w:numPr>
        <w:rPr>
          <w:highlight w:val="yellow"/>
        </w:rPr>
      </w:pPr>
      <w:r w:rsidRPr="00217CF7">
        <w:rPr>
          <w:highlight w:val="yellow"/>
        </w:rPr>
        <w:t>En el mes de abril, luego de la emergencia sanitaria, se asignó un bono de 10 GB para todos los contratos de internet, para hacer frente a la necesidad de teletrabajo y de no presencialidad en la educación.</w:t>
      </w:r>
    </w:p>
    <w:p w:rsidR="00217CF7" w:rsidRPr="00217CF7" w:rsidRDefault="00217CF7" w:rsidP="00217CF7">
      <w:pPr>
        <w:pStyle w:val="Prrafodelista"/>
        <w:numPr>
          <w:ilvl w:val="0"/>
          <w:numId w:val="6"/>
        </w:numPr>
        <w:rPr>
          <w:highlight w:val="yellow"/>
        </w:rPr>
      </w:pPr>
      <w:r w:rsidRPr="00217CF7">
        <w:rPr>
          <w:highlight w:val="yellow"/>
        </w:rPr>
        <w:t xml:space="preserve">Para los sectores de </w:t>
      </w:r>
      <w:r w:rsidRPr="00217CF7">
        <w:rPr>
          <w:b/>
          <w:bCs/>
          <w:highlight w:val="yellow"/>
          <w:lang w:val="es-UY"/>
        </w:rPr>
        <w:t xml:space="preserve">HOTELERÍA , GASTRONOMIA, INSTITUCIONES CULTURALES,   AGENCIAS DE VIAJE y EMPRESAS vinculadas al turismo y SALONES DE FIESTA. </w:t>
      </w:r>
      <w:r w:rsidRPr="00217CF7">
        <w:rPr>
          <w:highlight w:val="yellow"/>
        </w:rPr>
        <w:t>A partir de la fecha, el MIEM exhorta a ANTEL a a exonerar el cargo fijo de la línea telefónica y se hace descuento del 25% en cargos por los servicios de Internet fija, por mayo y junio.</w:t>
      </w:r>
      <w:r w:rsidR="001C0397">
        <w:rPr>
          <w:highlight w:val="yellow"/>
        </w:rPr>
        <w:t xml:space="preserve"> (a confirmar)</w:t>
      </w:r>
    </w:p>
    <w:p w:rsidR="00217CF7" w:rsidRPr="001D4934" w:rsidRDefault="00217CF7" w:rsidP="001A0844">
      <w:pPr>
        <w:pStyle w:val="Prrafodelista"/>
      </w:pPr>
    </w:p>
    <w:p w:rsidR="002144E2" w:rsidRDefault="008E416C" w:rsidP="001A0844">
      <w:pPr>
        <w:pStyle w:val="Prrafodelista"/>
        <w:rPr>
          <w:b/>
          <w:bCs/>
        </w:rPr>
      </w:pPr>
      <w:r>
        <w:rPr>
          <w:b/>
          <w:bCs/>
        </w:rPr>
        <w:t xml:space="preserve">Crédito: </w:t>
      </w:r>
    </w:p>
    <w:p w:rsidR="00741533" w:rsidRDefault="00741533" w:rsidP="00741533">
      <w:pPr>
        <w:pStyle w:val="Prrafodelista"/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SIGA </w:t>
      </w:r>
      <w:r w:rsidR="008E416C" w:rsidRPr="00741533">
        <w:rPr>
          <w:b/>
          <w:bCs/>
        </w:rPr>
        <w:t xml:space="preserve">Turismo </w:t>
      </w:r>
      <w:r w:rsidR="008E416C" w:rsidRPr="00741533">
        <w:t>inc</w:t>
      </w:r>
      <w:r w:rsidRPr="00741533">
        <w:t>luirá a los sectores fuertemente afectados por la pandemia y se aumenta el máximo que puede otorgar cada banco</w:t>
      </w:r>
      <w:r w:rsidR="00C14919">
        <w:t>.</w:t>
      </w:r>
    </w:p>
    <w:p w:rsidR="00741533" w:rsidRPr="00741533" w:rsidRDefault="00741533" w:rsidP="00741533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Préstamos de ANDE a unipersonales: </w:t>
      </w:r>
      <w:r w:rsidRPr="00741533">
        <w:t xml:space="preserve">en pesos a tasa 0% de hasta $ 25.000 </w:t>
      </w:r>
    </w:p>
    <w:p w:rsidR="002144E2" w:rsidRPr="00741533" w:rsidRDefault="00741533" w:rsidP="00741533">
      <w:pPr>
        <w:pStyle w:val="Prrafodelista"/>
        <w:numPr>
          <w:ilvl w:val="0"/>
          <w:numId w:val="1"/>
        </w:numPr>
      </w:pPr>
      <w:r>
        <w:rPr>
          <w:b/>
          <w:bCs/>
        </w:rPr>
        <w:t xml:space="preserve">Préstamos </w:t>
      </w:r>
      <w:r w:rsidRPr="00741533">
        <w:t xml:space="preserve">de instituciones de microfinanzas a </w:t>
      </w:r>
      <w:r w:rsidRPr="00741533">
        <w:rPr>
          <w:b/>
          <w:bCs/>
        </w:rPr>
        <w:t>empresas</w:t>
      </w:r>
      <w:r w:rsidRPr="00741533">
        <w:t xml:space="preserve"> en los siguientes subsectores dentro de los afectados. </w:t>
      </w:r>
      <w:r>
        <w:rPr>
          <w:b/>
          <w:bCs/>
        </w:rPr>
        <w:t>Tasa subsidiada por ANDE</w:t>
      </w:r>
      <w:r w:rsidRPr="00741533">
        <w:t>, monto hasta $100.000.</w:t>
      </w:r>
    </w:p>
    <w:p w:rsidR="002144E2" w:rsidRDefault="008E416C" w:rsidP="00741533">
      <w:pPr>
        <w:pStyle w:val="Prrafodelista"/>
        <w:numPr>
          <w:ilvl w:val="1"/>
          <w:numId w:val="3"/>
        </w:numPr>
      </w:pPr>
      <w:r w:rsidRPr="00741533">
        <w:t>Transporte escolar y turístico</w:t>
      </w:r>
    </w:p>
    <w:p w:rsidR="002144E2" w:rsidRDefault="008E416C" w:rsidP="00741533">
      <w:pPr>
        <w:pStyle w:val="Prrafodelista"/>
        <w:numPr>
          <w:ilvl w:val="1"/>
          <w:numId w:val="3"/>
        </w:numPr>
      </w:pPr>
      <w:r w:rsidRPr="00741533">
        <w:t xml:space="preserve">Clubes deportivos, </w:t>
      </w:r>
    </w:p>
    <w:p w:rsidR="002144E2" w:rsidRDefault="008E416C" w:rsidP="00741533">
      <w:pPr>
        <w:pStyle w:val="Prrafodelista"/>
        <w:numPr>
          <w:ilvl w:val="1"/>
          <w:numId w:val="3"/>
        </w:numPr>
      </w:pPr>
      <w:r w:rsidRPr="00741533">
        <w:t>Salones de fiesta y eventos</w:t>
      </w:r>
    </w:p>
    <w:p w:rsidR="002144E2" w:rsidRDefault="008E416C" w:rsidP="00741533">
      <w:pPr>
        <w:pStyle w:val="Prrafodelista"/>
        <w:numPr>
          <w:ilvl w:val="1"/>
          <w:numId w:val="3"/>
        </w:numPr>
      </w:pPr>
      <w:r w:rsidRPr="00741533">
        <w:t xml:space="preserve">Restaurantes  y parrilladas, rotiserías, otros servicios de comida. </w:t>
      </w:r>
    </w:p>
    <w:p w:rsidR="00741533" w:rsidRDefault="00741533" w:rsidP="00741533">
      <w:pPr>
        <w:pStyle w:val="Prrafodelista"/>
        <w:numPr>
          <w:ilvl w:val="0"/>
          <w:numId w:val="1"/>
        </w:numPr>
      </w:pPr>
      <w:r w:rsidRPr="00F542CD">
        <w:rPr>
          <w:b/>
          <w:bCs/>
        </w:rPr>
        <w:t>BCU</w:t>
      </w:r>
      <w:r>
        <w:t xml:space="preserve"> dictará normativa para </w:t>
      </w:r>
      <w:r w:rsidR="00F542CD" w:rsidRPr="00F542CD">
        <w:t xml:space="preserve">Igual que el año pasado, autorizará a bancos y otras empresas financieras a </w:t>
      </w:r>
      <w:r w:rsidR="00F542CD" w:rsidRPr="00F542CD">
        <w:rPr>
          <w:b/>
          <w:bCs/>
        </w:rPr>
        <w:t>extender los plazos de vencimiento de los créditos al Sector No Financiero en acuerdo con sus clientes</w:t>
      </w:r>
      <w:r w:rsidR="00F542CD" w:rsidRPr="00F542CD">
        <w:t>, tanto para el pago de capital como de los intereses para deudores cuyos ingresos puedan ser afectados a consecuencia de la emergencia sanitaria.</w:t>
      </w:r>
    </w:p>
    <w:p w:rsidR="008D2E9C" w:rsidRPr="008D2E9C" w:rsidRDefault="008D2E9C" w:rsidP="008D2E9C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Apoyos Laborales</w:t>
      </w:r>
      <w:r w:rsidR="009749C8">
        <w:rPr>
          <w:b/>
          <w:bCs/>
        </w:rPr>
        <w:t xml:space="preserve"> (PM)</w:t>
      </w:r>
    </w:p>
    <w:p w:rsidR="008D2E9C" w:rsidRDefault="008D2E9C" w:rsidP="008D2E9C">
      <w:pPr>
        <w:pStyle w:val="Prrafodelista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Apoyos Sociales</w:t>
      </w:r>
      <w:r w:rsidR="009749C8">
        <w:rPr>
          <w:b/>
          <w:bCs/>
        </w:rPr>
        <w:t xml:space="preserve"> (PB)</w:t>
      </w:r>
    </w:p>
    <w:p w:rsidR="00F542CD" w:rsidRDefault="00F542CD" w:rsidP="00741533">
      <w:pPr>
        <w:pStyle w:val="Prrafodelista"/>
        <w:autoSpaceDE w:val="0"/>
        <w:spacing w:after="0" w:line="240" w:lineRule="auto"/>
        <w:ind w:firstLine="360"/>
        <w:rPr>
          <w:rFonts w:cs="Calibri"/>
          <w:color w:val="000000"/>
          <w:sz w:val="20"/>
          <w:szCs w:val="20"/>
        </w:rPr>
      </w:pPr>
    </w:p>
    <w:p w:rsidR="002144E2" w:rsidRDefault="002144E2"/>
    <w:sectPr w:rsidR="002144E2" w:rsidSect="002A42CB">
      <w:pgSz w:w="11906" w:h="16838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232E" w:rsidRDefault="00F5232E">
      <w:pPr>
        <w:spacing w:after="0" w:line="240" w:lineRule="auto"/>
      </w:pPr>
      <w:r>
        <w:separator/>
      </w:r>
    </w:p>
  </w:endnote>
  <w:endnote w:type="continuationSeparator" w:id="1">
    <w:p w:rsidR="00F5232E" w:rsidRDefault="00F523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232E" w:rsidRDefault="00F5232E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F5232E" w:rsidRDefault="00F523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084B"/>
    <w:multiLevelType w:val="hybridMultilevel"/>
    <w:tmpl w:val="2DD234B6"/>
    <w:lvl w:ilvl="0" w:tplc="0C0A000B">
      <w:start w:val="1"/>
      <w:numFmt w:val="bullet"/>
      <w:lvlText w:val=""/>
      <w:lvlJc w:val="left"/>
      <w:pPr>
        <w:ind w:left="21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">
    <w:nsid w:val="183149B7"/>
    <w:multiLevelType w:val="hybridMultilevel"/>
    <w:tmpl w:val="59F6C3A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A130A79"/>
    <w:multiLevelType w:val="multilevel"/>
    <w:tmpl w:val="CE7E33D6"/>
    <w:lvl w:ilvl="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3683784B"/>
    <w:multiLevelType w:val="hybridMultilevel"/>
    <w:tmpl w:val="48AA0724"/>
    <w:lvl w:ilvl="0" w:tplc="2B3C0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6486C0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621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4AE3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47690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09693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C6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216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4A6F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5D3F0B4A"/>
    <w:multiLevelType w:val="hybridMultilevel"/>
    <w:tmpl w:val="154089D6"/>
    <w:lvl w:ilvl="0" w:tplc="E09E96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3481408"/>
    <w:multiLevelType w:val="hybridMultilevel"/>
    <w:tmpl w:val="8A8ED9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DA3DA8"/>
    <w:multiLevelType w:val="hybridMultilevel"/>
    <w:tmpl w:val="69C8A21C"/>
    <w:lvl w:ilvl="0" w:tplc="71B80ED6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3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44E2"/>
    <w:rsid w:val="000A62E1"/>
    <w:rsid w:val="000C78B4"/>
    <w:rsid w:val="000D6E8C"/>
    <w:rsid w:val="00127AF1"/>
    <w:rsid w:val="001A0844"/>
    <w:rsid w:val="001A2476"/>
    <w:rsid w:val="001C0397"/>
    <w:rsid w:val="001D4934"/>
    <w:rsid w:val="002144E2"/>
    <w:rsid w:val="00217CF7"/>
    <w:rsid w:val="00233F82"/>
    <w:rsid w:val="002A42CB"/>
    <w:rsid w:val="002E4BD4"/>
    <w:rsid w:val="00380DC5"/>
    <w:rsid w:val="00394A8C"/>
    <w:rsid w:val="003D6BDA"/>
    <w:rsid w:val="005208E1"/>
    <w:rsid w:val="005546FE"/>
    <w:rsid w:val="00616720"/>
    <w:rsid w:val="00616C7A"/>
    <w:rsid w:val="006746D4"/>
    <w:rsid w:val="006E7D92"/>
    <w:rsid w:val="00741533"/>
    <w:rsid w:val="007C49E0"/>
    <w:rsid w:val="00891608"/>
    <w:rsid w:val="008D2E9C"/>
    <w:rsid w:val="008E416C"/>
    <w:rsid w:val="009749C8"/>
    <w:rsid w:val="00A73D01"/>
    <w:rsid w:val="00AE575F"/>
    <w:rsid w:val="00AF0B3A"/>
    <w:rsid w:val="00B71DBF"/>
    <w:rsid w:val="00BC2ED5"/>
    <w:rsid w:val="00BF7D1E"/>
    <w:rsid w:val="00C14919"/>
    <w:rsid w:val="00C200CD"/>
    <w:rsid w:val="00C7610F"/>
    <w:rsid w:val="00D06F45"/>
    <w:rsid w:val="00E228CA"/>
    <w:rsid w:val="00E328E6"/>
    <w:rsid w:val="00E9203D"/>
    <w:rsid w:val="00E95BF0"/>
    <w:rsid w:val="00F13E29"/>
    <w:rsid w:val="00F5232E"/>
    <w:rsid w:val="00F542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2CB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A42CB"/>
    <w:pPr>
      <w:ind w:left="720"/>
    </w:pPr>
  </w:style>
  <w:style w:type="paragraph" w:customStyle="1" w:styleId="Default">
    <w:name w:val="Default"/>
    <w:rsid w:val="00AE575F"/>
    <w:pPr>
      <w:autoSpaceDE w:val="0"/>
      <w:adjustRightInd w:val="0"/>
      <w:spacing w:after="0" w:line="240" w:lineRule="auto"/>
      <w:textAlignment w:val="auto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D4934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49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49E0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6E7D9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E7D92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E7D92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E7D9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E7D9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224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88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53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474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208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97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3493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4987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7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77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F4D8-2A96-4892-A9B8-86AAA637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921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mef</dc:creator>
  <cp:lastModifiedBy>Windows User</cp:lastModifiedBy>
  <cp:revision>2</cp:revision>
  <dcterms:created xsi:type="dcterms:W3CDTF">2021-04-21T13:57:00Z</dcterms:created>
  <dcterms:modified xsi:type="dcterms:W3CDTF">2021-04-21T13:57:00Z</dcterms:modified>
</cp:coreProperties>
</file>